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spacing w:before="100" w:beforeLines="0" w:beforeAutospacing="1" w:after="100" w:afterLines="0" w:afterAutospacing="1" w:line="336" w:lineRule="atLeast"/>
        <w:jc w:val="left"/>
        <w:outlineLvl w:val="1"/>
        <w:rPr>
          <w:rFonts w:hint="default" w:asciiTheme="majorEastAsia" w:hAnsiTheme="majorEastAsia" w:eastAsiaTheme="majorEastAsia"/>
          <w:b w:val="1"/>
          <w:kern w:val="0"/>
        </w:rPr>
      </w:pPr>
      <w:r>
        <w:rPr>
          <w:rFonts w:hint="eastAsia" w:asciiTheme="majorEastAsia" w:hAnsiTheme="majorEastAsia" w:eastAsiaTheme="majorEastAsia"/>
          <w:b w:val="1"/>
          <w:kern w:val="0"/>
        </w:rPr>
        <w:t>〈平均値について〉</w:t>
      </w:r>
    </w:p>
    <w:p>
      <w:pPr>
        <w:pStyle w:val="0"/>
        <w:widowControl w:val="1"/>
        <w:spacing w:before="100" w:beforeLines="0" w:beforeAutospacing="1" w:line="336" w:lineRule="atLeast"/>
        <w:jc w:val="left"/>
        <w:outlineLvl w:val="2"/>
        <w:rPr>
          <w:rFonts w:hint="default" w:asciiTheme="majorEastAsia" w:hAnsiTheme="majorEastAsia" w:eastAsiaTheme="majorEastAsia"/>
          <w:b w:val="1"/>
          <w:kern w:val="0"/>
        </w:rPr>
      </w:pPr>
      <w:r>
        <w:rPr>
          <w:rFonts w:hint="eastAsia" w:asciiTheme="majorEastAsia" w:hAnsiTheme="majorEastAsia" w:eastAsiaTheme="majorEastAsia"/>
          <w:b w:val="1"/>
          <w:kern w:val="0"/>
        </w:rPr>
        <w:t>(1) </w:t>
      </w:r>
      <w:r>
        <w:rPr>
          <w:rFonts w:hint="eastAsia" w:asciiTheme="majorEastAsia" w:hAnsiTheme="majorEastAsia" w:eastAsiaTheme="majorEastAsia"/>
          <w:b w:val="1"/>
          <w:kern w:val="0"/>
        </w:rPr>
        <w:t>類似団体平均（グループ平均）について</w:t>
      </w:r>
    </w:p>
    <w:p>
      <w:pPr>
        <w:pStyle w:val="0"/>
        <w:widowControl w:val="1"/>
        <w:numPr>
          <w:ilvl w:val="0"/>
          <w:numId w:val="1"/>
        </w:numPr>
        <w:spacing w:before="100" w:beforeLines="0" w:beforeAutospacing="1" w:after="100" w:afterLines="0" w:afterAutospacing="1" w:line="336" w:lineRule="atLeast"/>
        <w:jc w:val="left"/>
        <w:rPr>
          <w:rFonts w:hint="default" w:asciiTheme="majorEastAsia" w:hAnsiTheme="majorEastAsia" w:eastAsiaTheme="majorEastAsia"/>
          <w:kern w:val="0"/>
        </w:rPr>
      </w:pPr>
      <w:r>
        <w:rPr>
          <w:rFonts w:hint="eastAsia" w:asciiTheme="majorEastAsia" w:hAnsiTheme="majorEastAsia" w:eastAsiaTheme="majorEastAsia"/>
          <w:kern w:val="0"/>
        </w:rPr>
        <w:t>類似団体平均とは、類型における選定団体</w:t>
      </w:r>
      <w:r>
        <w:rPr>
          <w:rFonts w:hint="eastAsia" w:asciiTheme="majorEastAsia" w:hAnsiTheme="majorEastAsia" w:eastAsiaTheme="majorEastAsia"/>
          <w:kern w:val="0"/>
          <w:vertAlign w:val="superscript"/>
        </w:rPr>
        <w:t>※</w:t>
      </w:r>
      <w:r>
        <w:rPr>
          <w:rFonts w:hint="eastAsia" w:asciiTheme="majorEastAsia" w:hAnsiTheme="majorEastAsia" w:eastAsiaTheme="majorEastAsia"/>
          <w:kern w:val="0"/>
        </w:rPr>
        <w:t>による各指標の平均値です。</w:t>
      </w:r>
    </w:p>
    <w:p>
      <w:pPr>
        <w:pStyle w:val="0"/>
        <w:widowControl w:val="1"/>
        <w:numPr>
          <w:ilvl w:val="0"/>
          <w:numId w:val="1"/>
        </w:numPr>
        <w:spacing w:before="100" w:beforeLines="0" w:beforeAutospacing="1" w:after="100" w:afterLines="0" w:afterAutospacing="1" w:line="336" w:lineRule="atLeast"/>
        <w:jc w:val="left"/>
        <w:rPr>
          <w:rFonts w:hint="default" w:asciiTheme="majorEastAsia" w:hAnsiTheme="majorEastAsia" w:eastAsiaTheme="majorEastAsia"/>
          <w:kern w:val="0"/>
        </w:rPr>
      </w:pPr>
      <w:r>
        <w:rPr>
          <w:rFonts w:hint="eastAsia" w:asciiTheme="majorEastAsia" w:hAnsiTheme="majorEastAsia" w:eastAsiaTheme="majorEastAsia"/>
          <w:kern w:val="0"/>
        </w:rPr>
        <w:t>グループ平均とは、グループにおける各団体による各指標の平均値です。</w:t>
      </w:r>
      <w:r>
        <w:rPr>
          <w:rFonts w:hint="eastAsia" w:asciiTheme="majorEastAsia" w:hAnsiTheme="majorEastAsia" w:eastAsiaTheme="majorEastAsia"/>
          <w:kern w:val="0"/>
        </w:rPr>
        <w:t xml:space="preserve"> </w:t>
      </w:r>
    </w:p>
    <w:p>
      <w:pPr>
        <w:pStyle w:val="0"/>
        <w:widowControl w:val="1"/>
        <w:spacing w:before="100" w:beforeLines="0" w:beforeAutospacing="1" w:line="336" w:lineRule="atLeast"/>
        <w:jc w:val="left"/>
        <w:outlineLvl w:val="2"/>
        <w:rPr>
          <w:rFonts w:hint="default" w:asciiTheme="majorEastAsia" w:hAnsiTheme="majorEastAsia" w:eastAsiaTheme="majorEastAsia"/>
          <w:b w:val="1"/>
          <w:kern w:val="0"/>
        </w:rPr>
      </w:pPr>
      <w:r>
        <w:rPr>
          <w:rFonts w:hint="eastAsia" w:asciiTheme="majorEastAsia" w:hAnsiTheme="majorEastAsia" w:eastAsiaTheme="majorEastAsia"/>
          <w:b w:val="1"/>
          <w:kern w:val="0"/>
        </w:rPr>
        <w:t>※選定団体について</w:t>
      </w:r>
    </w:p>
    <w:p>
      <w:pPr>
        <w:pStyle w:val="0"/>
        <w:widowControl w:val="1"/>
        <w:spacing w:before="100" w:beforeLines="0" w:beforeAutospacing="1" w:after="100" w:afterLines="0" w:afterAutospacing="1" w:line="336" w:lineRule="atLeast"/>
        <w:jc w:val="left"/>
        <w:rPr>
          <w:rFonts w:hint="default" w:asciiTheme="majorEastAsia" w:hAnsiTheme="majorEastAsia" w:eastAsiaTheme="majorEastAsia"/>
          <w:kern w:val="0"/>
        </w:rPr>
      </w:pPr>
      <w:r>
        <w:rPr>
          <w:rFonts w:hint="eastAsia" w:asciiTheme="majorEastAsia" w:hAnsiTheme="majorEastAsia" w:eastAsiaTheme="majorEastAsia"/>
          <w:kern w:val="0"/>
        </w:rPr>
        <w:t>　選定団体は、標準的な財政運営を行っている市町村として、次の基準によって選定されます。</w:t>
      </w:r>
    </w:p>
    <w:p>
      <w:pPr>
        <w:pStyle w:val="0"/>
        <w:widowControl w:val="1"/>
        <w:numPr>
          <w:ilvl w:val="0"/>
          <w:numId w:val="2"/>
        </w:numPr>
        <w:spacing w:before="100" w:beforeLines="0" w:beforeAutospacing="1" w:after="100" w:afterLines="0" w:afterAutospacing="1" w:line="336" w:lineRule="atLeast"/>
        <w:ind w:left="960"/>
        <w:jc w:val="left"/>
        <w:rPr>
          <w:rFonts w:hint="default" w:asciiTheme="majorEastAsia" w:hAnsiTheme="majorEastAsia" w:eastAsiaTheme="majorEastAsia"/>
          <w:kern w:val="0"/>
        </w:rPr>
      </w:pPr>
      <w:r>
        <w:rPr>
          <w:rFonts w:hint="eastAsia" w:asciiTheme="majorEastAsia" w:hAnsiTheme="majorEastAsia" w:eastAsiaTheme="majorEastAsia"/>
          <w:kern w:val="0"/>
        </w:rPr>
        <w:t>原則として、平成</w:t>
      </w:r>
      <w:r>
        <w:rPr>
          <w:rFonts w:hint="eastAsia" w:asciiTheme="majorEastAsia" w:hAnsiTheme="majorEastAsia" w:eastAsiaTheme="majorEastAsia"/>
          <w:kern w:val="0"/>
        </w:rPr>
        <w:t>27</w:t>
      </w:r>
      <w:r>
        <w:rPr>
          <w:rFonts w:hint="eastAsia" w:asciiTheme="majorEastAsia" w:hAnsiTheme="majorEastAsia" w:eastAsiaTheme="majorEastAsia"/>
          <w:kern w:val="0"/>
        </w:rPr>
        <w:t>年</w:t>
      </w:r>
      <w:r>
        <w:rPr>
          <w:rFonts w:hint="eastAsia" w:asciiTheme="majorEastAsia" w:hAnsiTheme="majorEastAsia" w:eastAsiaTheme="majorEastAsia"/>
          <w:kern w:val="0"/>
        </w:rPr>
        <w:t>4</w:t>
      </w:r>
      <w:r>
        <w:rPr>
          <w:rFonts w:hint="eastAsia" w:asciiTheme="majorEastAsia" w:hAnsiTheme="majorEastAsia" w:eastAsiaTheme="majorEastAsia"/>
          <w:kern w:val="0"/>
        </w:rPr>
        <w:t>月</w:t>
      </w:r>
      <w:r>
        <w:rPr>
          <w:rFonts w:hint="eastAsia" w:asciiTheme="majorEastAsia" w:hAnsiTheme="majorEastAsia" w:eastAsiaTheme="majorEastAsia"/>
          <w:kern w:val="0"/>
        </w:rPr>
        <w:t>1</w:t>
      </w:r>
      <w:r>
        <w:rPr>
          <w:rFonts w:hint="eastAsia" w:asciiTheme="majorEastAsia" w:hAnsiTheme="majorEastAsia" w:eastAsiaTheme="majorEastAsia"/>
          <w:kern w:val="0"/>
        </w:rPr>
        <w:t>日以降において、大規模な合併が行われていないこと。</w:t>
      </w:r>
    </w:p>
    <w:p>
      <w:pPr>
        <w:pStyle w:val="0"/>
        <w:widowControl w:val="1"/>
        <w:numPr>
          <w:ilvl w:val="0"/>
          <w:numId w:val="2"/>
        </w:numPr>
        <w:spacing w:before="100" w:beforeLines="0" w:beforeAutospacing="1" w:after="100" w:afterLines="0" w:afterAutospacing="1" w:line="336" w:lineRule="atLeast"/>
        <w:ind w:left="960"/>
        <w:jc w:val="left"/>
        <w:rPr>
          <w:rFonts w:hint="default" w:asciiTheme="majorEastAsia" w:hAnsiTheme="majorEastAsia" w:eastAsiaTheme="majorEastAsia"/>
          <w:kern w:val="0"/>
        </w:rPr>
      </w:pPr>
      <w:r>
        <w:rPr>
          <w:rFonts w:hint="eastAsia" w:asciiTheme="majorEastAsia" w:hAnsiTheme="majorEastAsia" w:eastAsiaTheme="majorEastAsia"/>
          <w:kern w:val="0"/>
        </w:rPr>
        <w:t>過去</w:t>
      </w:r>
      <w:r>
        <w:rPr>
          <w:rFonts w:hint="eastAsia" w:asciiTheme="majorEastAsia" w:hAnsiTheme="majorEastAsia" w:eastAsiaTheme="majorEastAsia"/>
          <w:kern w:val="0"/>
        </w:rPr>
        <w:t>2</w:t>
      </w:r>
      <w:r>
        <w:rPr>
          <w:rFonts w:hint="eastAsia" w:asciiTheme="majorEastAsia" w:hAnsiTheme="majorEastAsia" w:eastAsiaTheme="majorEastAsia"/>
          <w:kern w:val="0"/>
        </w:rPr>
        <w:t>カ年の決算の実質単年度収支において著しく多額の赤字を生じていないこと。</w:t>
      </w:r>
    </w:p>
    <w:p>
      <w:pPr>
        <w:pStyle w:val="0"/>
        <w:widowControl w:val="1"/>
        <w:numPr>
          <w:ilvl w:val="0"/>
          <w:numId w:val="2"/>
        </w:numPr>
        <w:spacing w:before="100" w:beforeLines="0" w:beforeAutospacing="1" w:after="100" w:afterLines="0" w:afterAutospacing="1" w:line="336" w:lineRule="atLeast"/>
        <w:ind w:left="960"/>
        <w:jc w:val="left"/>
        <w:rPr>
          <w:rFonts w:hint="default" w:asciiTheme="majorEastAsia" w:hAnsiTheme="majorEastAsia" w:eastAsiaTheme="majorEastAsia"/>
          <w:kern w:val="0"/>
        </w:rPr>
      </w:pPr>
      <w:r>
        <w:rPr>
          <w:rFonts w:hint="eastAsia" w:asciiTheme="majorEastAsia" w:hAnsiTheme="majorEastAsia" w:eastAsiaTheme="majorEastAsia"/>
          <w:kern w:val="0"/>
        </w:rPr>
        <w:t>決算の実質収支において、著しく多額の赤字を生じていないこと。</w:t>
      </w:r>
    </w:p>
    <w:p>
      <w:pPr>
        <w:pStyle w:val="0"/>
        <w:widowControl w:val="1"/>
        <w:numPr>
          <w:ilvl w:val="0"/>
          <w:numId w:val="2"/>
        </w:numPr>
        <w:spacing w:before="100" w:beforeLines="0" w:beforeAutospacing="1" w:after="100" w:afterLines="0" w:afterAutospacing="1" w:line="336" w:lineRule="atLeast"/>
        <w:ind w:left="960"/>
        <w:jc w:val="left"/>
        <w:rPr>
          <w:rFonts w:hint="default" w:asciiTheme="majorEastAsia" w:hAnsiTheme="majorEastAsia" w:eastAsiaTheme="majorEastAsia"/>
          <w:kern w:val="0"/>
        </w:rPr>
      </w:pPr>
      <w:r>
        <w:rPr>
          <w:rFonts w:hint="eastAsia" w:asciiTheme="majorEastAsia" w:hAnsiTheme="majorEastAsia" w:eastAsiaTheme="majorEastAsia"/>
          <w:kern w:val="0"/>
        </w:rPr>
        <w:t>決算において地方債の元利償還金が財政の著しい負担となっていないこと。</w:t>
      </w:r>
    </w:p>
    <w:p>
      <w:pPr>
        <w:pStyle w:val="0"/>
        <w:widowControl w:val="1"/>
        <w:numPr>
          <w:ilvl w:val="0"/>
          <w:numId w:val="2"/>
        </w:numPr>
        <w:spacing w:before="100" w:beforeLines="0" w:beforeAutospacing="1" w:after="100" w:afterLines="0" w:afterAutospacing="1" w:line="336" w:lineRule="atLeast"/>
        <w:ind w:left="960"/>
        <w:jc w:val="left"/>
        <w:rPr>
          <w:rFonts w:hint="default" w:asciiTheme="majorEastAsia" w:hAnsiTheme="majorEastAsia" w:eastAsiaTheme="majorEastAsia"/>
          <w:kern w:val="0"/>
        </w:rPr>
      </w:pPr>
      <w:r>
        <w:rPr>
          <w:rFonts w:hint="eastAsia" w:asciiTheme="majorEastAsia" w:hAnsiTheme="majorEastAsia" w:eastAsiaTheme="majorEastAsia"/>
          <w:kern w:val="0"/>
        </w:rPr>
        <w:t>その年度の財政構造に著しい変化を与えるような災害等の特殊事情が生じていないこと。</w:t>
      </w:r>
    </w:p>
    <w:p>
      <w:pPr>
        <w:pStyle w:val="0"/>
        <w:widowControl w:val="1"/>
        <w:numPr>
          <w:ilvl w:val="0"/>
          <w:numId w:val="2"/>
        </w:numPr>
        <w:spacing w:before="100" w:beforeLines="0" w:beforeAutospacing="1" w:after="100" w:afterLines="0" w:afterAutospacing="1" w:line="336" w:lineRule="atLeast"/>
        <w:ind w:left="960"/>
        <w:jc w:val="left"/>
        <w:rPr>
          <w:rFonts w:hint="default" w:asciiTheme="majorEastAsia" w:hAnsiTheme="majorEastAsia" w:eastAsiaTheme="majorEastAsia"/>
          <w:kern w:val="0"/>
        </w:rPr>
      </w:pPr>
      <w:r>
        <w:rPr>
          <w:rFonts w:hint="eastAsia" w:asciiTheme="majorEastAsia" w:hAnsiTheme="majorEastAsia" w:eastAsiaTheme="majorEastAsia"/>
          <w:kern w:val="0"/>
        </w:rPr>
        <w:t>決算において、収益事業収入が著しく多額となっていないこと。</w:t>
      </w:r>
    </w:p>
    <w:p>
      <w:pPr>
        <w:pStyle w:val="0"/>
        <w:widowControl w:val="1"/>
        <w:spacing w:before="100" w:beforeLines="0" w:beforeAutospacing="1" w:line="336" w:lineRule="atLeast"/>
        <w:jc w:val="left"/>
        <w:outlineLvl w:val="2"/>
        <w:rPr>
          <w:rFonts w:hint="default" w:asciiTheme="majorEastAsia" w:hAnsiTheme="majorEastAsia" w:eastAsiaTheme="majorEastAsia"/>
          <w:b w:val="1"/>
          <w:kern w:val="0"/>
        </w:rPr>
      </w:pPr>
      <w:r>
        <w:rPr>
          <w:rFonts w:hint="eastAsia" w:asciiTheme="majorEastAsia" w:hAnsiTheme="majorEastAsia" w:eastAsiaTheme="majorEastAsia"/>
          <w:b w:val="1"/>
          <w:kern w:val="0"/>
        </w:rPr>
        <w:t>(2) </w:t>
      </w:r>
      <w:r>
        <w:rPr>
          <w:rFonts w:hint="eastAsia" w:asciiTheme="majorEastAsia" w:hAnsiTheme="majorEastAsia" w:eastAsiaTheme="majorEastAsia"/>
          <w:b w:val="1"/>
          <w:kern w:val="0"/>
        </w:rPr>
        <w:t>都道府県市町村平均、全国市町村平均及び都道府県平均について</w:t>
      </w:r>
    </w:p>
    <w:p>
      <w:pPr>
        <w:pStyle w:val="0"/>
        <w:widowControl w:val="1"/>
        <w:numPr>
          <w:ilvl w:val="0"/>
          <w:numId w:val="3"/>
        </w:numPr>
        <w:spacing w:before="100" w:beforeLines="0" w:beforeAutospacing="1" w:after="100" w:afterLines="0" w:afterAutospacing="1" w:line="336" w:lineRule="atLeast"/>
        <w:jc w:val="left"/>
        <w:rPr>
          <w:rFonts w:hint="default" w:asciiTheme="majorEastAsia" w:hAnsiTheme="majorEastAsia" w:eastAsiaTheme="majorEastAsia"/>
          <w:kern w:val="0"/>
        </w:rPr>
      </w:pPr>
      <w:r>
        <w:rPr>
          <w:rFonts w:hint="eastAsia" w:asciiTheme="majorEastAsia" w:hAnsiTheme="majorEastAsia" w:eastAsiaTheme="majorEastAsia"/>
          <w:kern w:val="0"/>
        </w:rPr>
        <w:t>都道府県市町村平均、全国市町村平均とは、それぞれ各指標に関する各都道府県内の市町村（特別区を含む。以下同じ）の平均値、全国の市町村の平均値です。ただし、財政力指数及び経常収支比率については、特別区を除きます。</w:t>
      </w:r>
    </w:p>
    <w:p>
      <w:pPr>
        <w:pStyle w:val="0"/>
        <w:widowControl w:val="1"/>
        <w:numPr>
          <w:ilvl w:val="0"/>
          <w:numId w:val="3"/>
        </w:numPr>
        <w:spacing w:before="100" w:beforeLines="0" w:beforeAutospacing="1" w:after="100" w:afterLines="0" w:afterAutospacing="1" w:line="336" w:lineRule="atLeast"/>
        <w:jc w:val="left"/>
        <w:rPr>
          <w:rFonts w:hint="default" w:asciiTheme="majorEastAsia" w:hAnsiTheme="majorEastAsia" w:eastAsiaTheme="majorEastAsia"/>
          <w:kern w:val="0"/>
        </w:rPr>
      </w:pPr>
      <w:r>
        <w:rPr>
          <w:rFonts w:hint="eastAsia" w:asciiTheme="majorEastAsia" w:hAnsiTheme="majorEastAsia" w:eastAsiaTheme="majorEastAsia"/>
          <w:kern w:val="0"/>
        </w:rPr>
        <w:t>都道府県平均とは、各指標に関する全都道府県の平均値です。</w:t>
      </w:r>
    </w:p>
    <w:p>
      <w:pPr>
        <w:pStyle w:val="0"/>
        <w:widowControl w:val="1"/>
        <w:spacing w:before="100" w:beforeLines="0" w:beforeAutospacing="1" w:after="100" w:afterLines="0" w:afterAutospacing="1" w:line="336" w:lineRule="atLeast"/>
        <w:jc w:val="left"/>
        <w:rPr>
          <w:rFonts w:hint="default" w:asciiTheme="majorEastAsia" w:hAnsiTheme="majorEastAsia" w:eastAsiaTheme="majorEastAsia"/>
          <w:kern w:val="0"/>
        </w:rPr>
      </w:pPr>
    </w:p>
    <w:p>
      <w:pPr>
        <w:pStyle w:val="0"/>
        <w:widowControl w:val="1"/>
        <w:spacing w:before="100" w:beforeLines="0" w:beforeAutospacing="1" w:after="100" w:afterLines="0" w:afterAutospacing="1" w:line="336" w:lineRule="atLeast"/>
        <w:jc w:val="left"/>
        <w:rPr>
          <w:rFonts w:hint="default" w:asciiTheme="majorEastAsia" w:hAnsiTheme="majorEastAsia" w:eastAsiaTheme="majorEastAsia"/>
          <w:kern w:val="0"/>
        </w:rPr>
      </w:pPr>
    </w:p>
    <w:p>
      <w:pPr>
        <w:pStyle w:val="0"/>
        <w:widowControl w:val="1"/>
        <w:spacing w:before="100" w:beforeLines="0" w:beforeAutospacing="1" w:after="100" w:afterLines="0" w:afterAutospacing="1" w:line="336" w:lineRule="atLeast"/>
        <w:jc w:val="left"/>
        <w:rPr>
          <w:rFonts w:hint="default" w:asciiTheme="majorEastAsia" w:hAnsiTheme="majorEastAsia" w:eastAsiaTheme="majorEastAsia"/>
          <w:kern w:val="0"/>
        </w:rPr>
      </w:pPr>
    </w:p>
    <w:p>
      <w:pPr>
        <w:pStyle w:val="0"/>
        <w:widowControl w:val="1"/>
        <w:spacing w:before="100" w:beforeLines="0" w:beforeAutospacing="1" w:after="100" w:afterLines="0" w:afterAutospacing="1" w:line="336" w:lineRule="atLeast"/>
        <w:jc w:val="left"/>
        <w:rPr>
          <w:rFonts w:hint="default" w:asciiTheme="majorEastAsia" w:hAnsiTheme="majorEastAsia" w:eastAsiaTheme="majorEastAsia"/>
          <w:kern w:val="0"/>
        </w:rPr>
      </w:pPr>
    </w:p>
    <w:p>
      <w:pPr>
        <w:pStyle w:val="0"/>
        <w:widowControl w:val="1"/>
        <w:spacing w:before="100" w:beforeLines="0" w:beforeAutospacing="1" w:after="100" w:afterLines="0" w:afterAutospacing="1" w:line="336" w:lineRule="atLeast"/>
        <w:jc w:val="left"/>
        <w:rPr>
          <w:rFonts w:hint="eastAsia" w:asciiTheme="majorEastAsia" w:hAnsiTheme="majorEastAsia" w:eastAsiaTheme="majorEastAsia"/>
          <w:kern w:val="0"/>
        </w:rPr>
      </w:pPr>
    </w:p>
    <w:p>
      <w:pPr>
        <w:pStyle w:val="0"/>
        <w:widowControl w:val="1"/>
        <w:spacing w:before="100" w:beforeLines="0" w:beforeAutospacing="1" w:line="336" w:lineRule="atLeast"/>
        <w:jc w:val="left"/>
        <w:outlineLvl w:val="2"/>
        <w:rPr>
          <w:rFonts w:hint="default" w:asciiTheme="majorEastAsia" w:hAnsiTheme="majorEastAsia" w:eastAsiaTheme="majorEastAsia"/>
          <w:b w:val="1"/>
          <w:kern w:val="0"/>
        </w:rPr>
      </w:pPr>
      <w:r>
        <w:rPr>
          <w:rFonts w:hint="eastAsia" w:asciiTheme="majorEastAsia" w:hAnsiTheme="majorEastAsia" w:eastAsiaTheme="majorEastAsia"/>
          <w:b w:val="1"/>
          <w:kern w:val="0"/>
        </w:rPr>
        <w:t>(3) </w:t>
      </w:r>
      <w:r>
        <w:rPr>
          <w:rFonts w:hint="eastAsia" w:asciiTheme="majorEastAsia" w:hAnsiTheme="majorEastAsia" w:eastAsiaTheme="majorEastAsia"/>
          <w:b w:val="1"/>
          <w:kern w:val="0"/>
        </w:rPr>
        <w:t>各指標の平均値について</w:t>
      </w:r>
    </w:p>
    <w:p>
      <w:pPr>
        <w:pStyle w:val="0"/>
        <w:widowControl w:val="1"/>
        <w:spacing w:before="100" w:beforeLines="0" w:beforeAutospacing="1" w:after="100" w:afterLines="0" w:afterAutospacing="1" w:line="336" w:lineRule="atLeast"/>
        <w:jc w:val="left"/>
        <w:rPr>
          <w:rFonts w:hint="default" w:asciiTheme="majorEastAsia" w:hAnsiTheme="majorEastAsia" w:eastAsiaTheme="majorEastAsia"/>
          <w:kern w:val="0"/>
        </w:rPr>
      </w:pPr>
      <w:r>
        <w:rPr>
          <w:rFonts w:hint="eastAsia" w:asciiTheme="majorEastAsia" w:hAnsiTheme="majorEastAsia" w:eastAsiaTheme="majorEastAsia"/>
          <w:kern w:val="0"/>
        </w:rPr>
        <w:t>各指標の平均値の算出</w:t>
      </w:r>
      <w:bookmarkStart w:id="0" w:name="_GoBack"/>
      <w:bookmarkEnd w:id="0"/>
      <w:r>
        <w:rPr>
          <w:rFonts w:hint="eastAsia" w:asciiTheme="majorEastAsia" w:hAnsiTheme="majorEastAsia" w:eastAsiaTheme="majorEastAsia"/>
          <w:kern w:val="0"/>
        </w:rPr>
        <w:t>方法については、下表のとおりです。</w:t>
      </w:r>
    </w:p>
    <w:tbl>
      <w:tblPr>
        <w:tblStyle w:val="11"/>
        <w:tblW w:w="8488" w:type="dxa"/>
        <w:tblInd w:w="0" w:type="dxa"/>
        <w:tblBorders>
          <w:top w:val="single" w:color="000000" w:sz="6" w:space="0"/>
          <w:left w:val="single" w:color="000000" w:sz="6" w:space="0"/>
          <w:bottom w:val="single" w:color="000000" w:sz="6" w:space="0"/>
          <w:right w:val="single" w:color="000000" w:sz="6" w:space="0"/>
        </w:tblBorders>
        <w:tblLayout w:type="fixed"/>
        <w:tblCellMar>
          <w:top w:w="15" w:type="dxa"/>
          <w:left w:w="15" w:type="dxa"/>
          <w:bottom w:w="15" w:type="dxa"/>
          <w:right w:w="15" w:type="dxa"/>
        </w:tblCellMar>
        <w:tblLook w:firstRow="1" w:lastRow="0" w:firstColumn="1" w:lastColumn="0" w:noHBand="0" w:noVBand="1" w:val="04A0"/>
      </w:tblPr>
      <w:tblGrid>
        <w:gridCol w:w="1724"/>
        <w:gridCol w:w="2527"/>
        <w:gridCol w:w="1760"/>
        <w:gridCol w:w="2477"/>
      </w:tblGrid>
      <w:tr>
        <w:trPr/>
        <w:tc>
          <w:tcPr>
            <w:tcW w:w="4251"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spacing w:line="240" w:lineRule="atLeast"/>
              <w:jc w:val="center"/>
              <w:rPr>
                <w:rFonts w:hint="default" w:ascii="ＭＳ Ｐゴシック" w:hAnsi="ＭＳ Ｐゴシック" w:eastAsia="ＭＳ Ｐゴシック"/>
                <w:b w:val="1"/>
                <w:kern w:val="0"/>
                <w:sz w:val="20"/>
              </w:rPr>
            </w:pPr>
            <w:r>
              <w:rPr>
                <w:rFonts w:hint="default" w:ascii="ＭＳ Ｐゴシック" w:hAnsi="ＭＳ Ｐゴシック" w:eastAsia="ＭＳ Ｐゴシック"/>
                <w:b w:val="1"/>
                <w:kern w:val="0"/>
                <w:sz w:val="20"/>
              </w:rPr>
              <w:t>指標</w:t>
            </w:r>
          </w:p>
        </w:tc>
        <w:tc>
          <w:tcPr>
            <w:tcW w:w="17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spacing w:line="240" w:lineRule="atLeast"/>
              <w:jc w:val="center"/>
              <w:rPr>
                <w:rFonts w:hint="default" w:ascii="ＭＳ Ｐゴシック" w:hAnsi="ＭＳ Ｐゴシック" w:eastAsia="ＭＳ Ｐゴシック"/>
                <w:b w:val="1"/>
                <w:kern w:val="0"/>
                <w:sz w:val="20"/>
              </w:rPr>
            </w:pPr>
            <w:r>
              <w:rPr>
                <w:rFonts w:hint="default" w:ascii="ＭＳ Ｐゴシック" w:hAnsi="ＭＳ Ｐゴシック" w:eastAsia="ＭＳ Ｐゴシック"/>
                <w:b w:val="1"/>
                <w:kern w:val="0"/>
                <w:sz w:val="20"/>
              </w:rPr>
              <w:t>類似団体平均</w:t>
            </w:r>
            <w:r>
              <w:rPr>
                <w:rFonts w:hint="default" w:ascii="ＭＳ Ｐゴシック" w:hAnsi="ＭＳ Ｐゴシック" w:eastAsia="ＭＳ Ｐゴシック"/>
                <w:b w:val="1"/>
                <w:kern w:val="0"/>
                <w:sz w:val="20"/>
              </w:rPr>
              <w:br w:type="textWrapping" w:clear="none"/>
            </w:r>
            <w:r>
              <w:rPr>
                <w:rFonts w:hint="default" w:ascii="ＭＳ Ｐゴシック" w:hAnsi="ＭＳ Ｐゴシック" w:eastAsia="ＭＳ Ｐゴシック"/>
                <w:b w:val="1"/>
                <w:kern w:val="0"/>
                <w:sz w:val="20"/>
              </w:rPr>
              <w:t>（又はグループ平均）</w:t>
            </w:r>
          </w:p>
        </w:tc>
        <w:tc>
          <w:tcPr>
            <w:tcW w:w="247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spacing w:line="240" w:lineRule="atLeast"/>
              <w:jc w:val="center"/>
              <w:rPr>
                <w:rFonts w:hint="default" w:ascii="ＭＳ Ｐゴシック" w:hAnsi="ＭＳ Ｐゴシック" w:eastAsia="ＭＳ Ｐゴシック"/>
                <w:b w:val="1"/>
                <w:kern w:val="0"/>
                <w:sz w:val="20"/>
              </w:rPr>
            </w:pPr>
            <w:r>
              <w:rPr>
                <w:rFonts w:hint="default" w:ascii="ＭＳ Ｐゴシック" w:hAnsi="ＭＳ Ｐゴシック" w:eastAsia="ＭＳ Ｐゴシック"/>
                <w:b w:val="1"/>
                <w:kern w:val="0"/>
                <w:sz w:val="20"/>
              </w:rPr>
              <w:t>都道府県市町村平均</w:t>
            </w:r>
            <w:r>
              <w:rPr>
                <w:rFonts w:hint="default" w:ascii="ＭＳ Ｐゴシック" w:hAnsi="ＭＳ Ｐゴシック" w:eastAsia="ＭＳ Ｐゴシック"/>
                <w:b w:val="1"/>
                <w:kern w:val="0"/>
                <w:sz w:val="20"/>
              </w:rPr>
              <w:br w:type="textWrapping" w:clear="none"/>
            </w:r>
            <w:r>
              <w:rPr>
                <w:rFonts w:hint="default" w:ascii="ＭＳ Ｐゴシック" w:hAnsi="ＭＳ Ｐゴシック" w:eastAsia="ＭＳ Ｐゴシック"/>
                <w:b w:val="1"/>
                <w:kern w:val="0"/>
                <w:sz w:val="20"/>
              </w:rPr>
              <w:t>及び</w:t>
            </w:r>
            <w:r>
              <w:rPr>
                <w:rFonts w:hint="default" w:ascii="ＭＳ Ｐゴシック" w:hAnsi="ＭＳ Ｐゴシック" w:eastAsia="ＭＳ Ｐゴシック"/>
                <w:b w:val="1"/>
                <w:kern w:val="0"/>
                <w:sz w:val="20"/>
              </w:rPr>
              <w:br w:type="textWrapping" w:clear="none"/>
            </w:r>
            <w:r>
              <w:rPr>
                <w:rFonts w:hint="default" w:ascii="ＭＳ Ｐゴシック" w:hAnsi="ＭＳ Ｐゴシック" w:eastAsia="ＭＳ Ｐゴシック"/>
                <w:b w:val="1"/>
                <w:kern w:val="0"/>
                <w:sz w:val="20"/>
              </w:rPr>
              <w:t>全国市町村平均</w:t>
            </w:r>
            <w:r>
              <w:rPr>
                <w:rFonts w:hint="default" w:ascii="ＭＳ Ｐゴシック" w:hAnsi="ＭＳ Ｐゴシック" w:eastAsia="ＭＳ Ｐゴシック"/>
                <w:b w:val="1"/>
                <w:kern w:val="0"/>
                <w:sz w:val="20"/>
              </w:rPr>
              <w:br w:type="textWrapping" w:clear="none"/>
            </w:r>
            <w:r>
              <w:rPr>
                <w:rFonts w:hint="default" w:ascii="ＭＳ Ｐゴシック" w:hAnsi="ＭＳ Ｐゴシック" w:eastAsia="ＭＳ Ｐゴシック"/>
                <w:b w:val="1"/>
                <w:kern w:val="0"/>
                <w:sz w:val="20"/>
              </w:rPr>
              <w:t>（又は都道府県平均）</w:t>
            </w:r>
          </w:p>
        </w:tc>
      </w:tr>
      <w:tr>
        <w:trPr/>
        <w:tc>
          <w:tcPr>
            <w:tcW w:w="4251"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財政力指数</w:t>
            </w:r>
          </w:p>
        </w:tc>
        <w:tc>
          <w:tcPr>
            <w:tcW w:w="17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単純平均</w:t>
            </w:r>
          </w:p>
        </w:tc>
        <w:tc>
          <w:tcPr>
            <w:tcW w:w="247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単純平均</w:t>
            </w:r>
          </w:p>
        </w:tc>
      </w:tr>
      <w:tr>
        <w:trPr/>
        <w:tc>
          <w:tcPr>
            <w:tcW w:w="4251"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経常収支比率</w:t>
            </w:r>
          </w:p>
        </w:tc>
        <w:tc>
          <w:tcPr>
            <w:tcW w:w="17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c>
          <w:tcPr>
            <w:tcW w:w="247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r>
      <w:tr>
        <w:trPr/>
        <w:tc>
          <w:tcPr>
            <w:tcW w:w="4251"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実質公債費比率</w:t>
            </w:r>
          </w:p>
        </w:tc>
        <w:tc>
          <w:tcPr>
            <w:tcW w:w="17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c>
          <w:tcPr>
            <w:tcW w:w="247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r>
      <w:tr>
        <w:trPr/>
        <w:tc>
          <w:tcPr>
            <w:tcW w:w="4251"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人口１人当たり地方債現在高</w:t>
            </w:r>
          </w:p>
        </w:tc>
        <w:tc>
          <w:tcPr>
            <w:tcW w:w="17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c>
          <w:tcPr>
            <w:tcW w:w="247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r>
      <w:tr>
        <w:trPr/>
        <w:tc>
          <w:tcPr>
            <w:tcW w:w="172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ラスパイレス指数</w:t>
            </w:r>
          </w:p>
        </w:tc>
        <w:tc>
          <w:tcPr>
            <w:tcW w:w="252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政令指定都市及び特別区</w:t>
            </w:r>
          </w:p>
        </w:tc>
        <w:tc>
          <w:tcPr>
            <w:tcW w:w="17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c>
          <w:tcPr>
            <w:tcW w:w="2477"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［全国市平均、全国町村平均］</w:t>
            </w:r>
            <w:r>
              <w:rPr>
                <w:rFonts w:hint="default" w:ascii="ＭＳ Ｐゴシック" w:hAnsi="ＭＳ Ｐゴシック" w:eastAsia="ＭＳ Ｐゴシック"/>
                <w:kern w:val="0"/>
                <w:sz w:val="20"/>
              </w:rPr>
              <w:br w:type="textWrapping" w:clear="none"/>
            </w:r>
            <w:r>
              <w:rPr>
                <w:rFonts w:hint="default" w:ascii="ＭＳ Ｐゴシック" w:hAnsi="ＭＳ Ｐゴシック" w:eastAsia="ＭＳ Ｐゴシック"/>
                <w:kern w:val="0"/>
                <w:sz w:val="20"/>
              </w:rPr>
              <w:t>加重平均</w:t>
            </w:r>
          </w:p>
        </w:tc>
      </w:tr>
      <w:tr>
        <w:trPr/>
        <w:tc>
          <w:tcPr>
            <w:tcW w:w="17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c>
          <w:tcPr>
            <w:tcW w:w="252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その他の市町村</w:t>
            </w:r>
          </w:p>
        </w:tc>
        <w:tc>
          <w:tcPr>
            <w:tcW w:w="17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単純平均</w:t>
            </w:r>
          </w:p>
        </w:tc>
        <w:tc>
          <w:tcPr>
            <w:tcW w:w="2477"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r>
      <w:tr>
        <w:trPr/>
        <w:tc>
          <w:tcPr>
            <w:tcW w:w="1724"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0"/>
              </w:rPr>
            </w:pPr>
          </w:p>
        </w:tc>
        <w:tc>
          <w:tcPr>
            <w:tcW w:w="252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都道府県</w:t>
            </w:r>
          </w:p>
        </w:tc>
        <w:tc>
          <w:tcPr>
            <w:tcW w:w="17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単純平均</w:t>
            </w:r>
          </w:p>
        </w:tc>
        <w:tc>
          <w:tcPr>
            <w:tcW w:w="247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r>
      <w:tr>
        <w:trPr/>
        <w:tc>
          <w:tcPr>
            <w:tcW w:w="4251"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人口</w:t>
            </w:r>
            <w:r>
              <w:rPr>
                <w:rFonts w:hint="default" w:ascii="ＭＳ Ｐゴシック" w:hAnsi="ＭＳ Ｐゴシック" w:eastAsia="ＭＳ Ｐゴシック"/>
                <w:kern w:val="0"/>
                <w:sz w:val="20"/>
              </w:rPr>
              <w:t>1,000</w:t>
            </w:r>
            <w:r>
              <w:rPr>
                <w:rFonts w:hint="default" w:ascii="ＭＳ Ｐゴシック" w:hAnsi="ＭＳ Ｐゴシック" w:eastAsia="ＭＳ Ｐゴシック"/>
                <w:kern w:val="0"/>
                <w:sz w:val="20"/>
              </w:rPr>
              <w:t>人（都道府県は</w:t>
            </w:r>
            <w:r>
              <w:rPr>
                <w:rFonts w:hint="default" w:ascii="ＭＳ Ｐゴシック" w:hAnsi="ＭＳ Ｐゴシック" w:eastAsia="ＭＳ Ｐゴシック"/>
                <w:kern w:val="0"/>
                <w:sz w:val="20"/>
              </w:rPr>
              <w:t>100,000</w:t>
            </w:r>
            <w:r>
              <w:rPr>
                <w:rFonts w:hint="default" w:ascii="ＭＳ Ｐゴシック" w:hAnsi="ＭＳ Ｐゴシック" w:eastAsia="ＭＳ Ｐゴシック"/>
                <w:kern w:val="0"/>
                <w:sz w:val="20"/>
              </w:rPr>
              <w:t>人）当たり職員数</w:t>
            </w:r>
          </w:p>
        </w:tc>
        <w:tc>
          <w:tcPr>
            <w:tcW w:w="17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c>
          <w:tcPr>
            <w:tcW w:w="247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r>
      <w:tr>
        <w:trPr/>
        <w:tc>
          <w:tcPr>
            <w:tcW w:w="4251"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人口１人当たり人件費・物件費等決算額</w:t>
            </w:r>
          </w:p>
        </w:tc>
        <w:tc>
          <w:tcPr>
            <w:tcW w:w="17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c>
          <w:tcPr>
            <w:tcW w:w="247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48" w:type="dxa"/>
              <w:left w:w="48" w:type="dxa"/>
              <w:bottom w:w="48" w:type="dxa"/>
              <w:right w:w="48" w:type="dxa"/>
            </w:tcMar>
            <w:vAlign w:val="center"/>
          </w:tcPr>
          <w:p>
            <w:pPr>
              <w:pStyle w:val="0"/>
              <w:widowControl w:val="1"/>
              <w:jc w:val="left"/>
              <w:rPr>
                <w:rFonts w:hint="default" w:ascii="ＭＳ Ｐゴシック" w:hAnsi="ＭＳ Ｐゴシック" w:eastAsia="ＭＳ Ｐゴシック"/>
                <w:kern w:val="0"/>
                <w:sz w:val="20"/>
              </w:rPr>
            </w:pPr>
            <w:r>
              <w:rPr>
                <w:rFonts w:hint="default" w:ascii="ＭＳ Ｐゴシック" w:hAnsi="ＭＳ Ｐゴシック" w:eastAsia="ＭＳ Ｐゴシック"/>
                <w:kern w:val="0"/>
                <w:sz w:val="20"/>
              </w:rPr>
              <w:t>加重平均</w:t>
            </w:r>
          </w:p>
        </w:tc>
      </w:tr>
    </w:tbl>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E9945F0E"/>
    <w:lvl w:ilvl="0">
      <w:numFmt w:val="bullet"/>
      <w:lvlText w:val=""/>
      <w:lvlJc w:val="left"/>
      <w:pPr>
        <w:tabs>
          <w:tab w:val="num" w:leader="none" w:pos="720"/>
        </w:tabs>
        <w:ind w:left="720" w:hanging="360"/>
      </w:pPr>
      <w:rPr>
        <w:rFonts w:hint="default" w:ascii="Symbol" w:hAnsi="Symbol"/>
        <w:sz w:val="20"/>
      </w:rPr>
    </w:lvl>
    <w:lvl w:ilvl="1">
      <w:numFmt w:val="bullet"/>
      <w:lvlText w:val="o"/>
      <w:lvlJc w:val="left"/>
      <w:pPr>
        <w:tabs>
          <w:tab w:val="num" w:leader="none" w:pos="1440"/>
        </w:tabs>
        <w:ind w:left="1440" w:hanging="360"/>
      </w:pPr>
      <w:rPr>
        <w:rFonts w:hint="default" w:ascii="Courier New" w:hAnsi="Courier New"/>
        <w:sz w:val="20"/>
      </w:rPr>
    </w:lvl>
    <w:lvl w:ilvl="2">
      <w:numFmt w:val="bullet"/>
      <w:lvlText w:val=""/>
      <w:lvlJc w:val="left"/>
      <w:pPr>
        <w:tabs>
          <w:tab w:val="num" w:leader="none" w:pos="2160"/>
        </w:tabs>
        <w:ind w:left="2160" w:hanging="360"/>
      </w:pPr>
      <w:rPr>
        <w:rFonts w:hint="default" w:ascii="Wingdings" w:hAnsi="Wingdings"/>
        <w:sz w:val="20"/>
      </w:rPr>
    </w:lvl>
    <w:lvl w:ilvl="3">
      <w:numFmt w:val="bullet"/>
      <w:lvlText w:val=""/>
      <w:lvlJc w:val="left"/>
      <w:pPr>
        <w:tabs>
          <w:tab w:val="num" w:leader="none" w:pos="2880"/>
        </w:tabs>
        <w:ind w:left="2880" w:hanging="360"/>
      </w:pPr>
      <w:rPr>
        <w:rFonts w:hint="default" w:ascii="Wingdings" w:hAnsi="Wingdings"/>
        <w:sz w:val="20"/>
      </w:rPr>
    </w:lvl>
    <w:lvl w:ilvl="4">
      <w:numFmt w:val="bullet"/>
      <w:lvlText w:val=""/>
      <w:lvlJc w:val="left"/>
      <w:pPr>
        <w:tabs>
          <w:tab w:val="num" w:leader="none" w:pos="3600"/>
        </w:tabs>
        <w:ind w:left="3600" w:hanging="360"/>
      </w:pPr>
      <w:rPr>
        <w:rFonts w:hint="default" w:ascii="Wingdings" w:hAnsi="Wingdings"/>
        <w:sz w:val="20"/>
      </w:rPr>
    </w:lvl>
    <w:lvl w:ilvl="5">
      <w:numFmt w:val="bullet"/>
      <w:lvlText w:val=""/>
      <w:lvlJc w:val="left"/>
      <w:pPr>
        <w:tabs>
          <w:tab w:val="num" w:leader="none" w:pos="4320"/>
        </w:tabs>
        <w:ind w:left="4320" w:hanging="360"/>
      </w:pPr>
      <w:rPr>
        <w:rFonts w:hint="default" w:ascii="Wingdings" w:hAnsi="Wingdings"/>
        <w:sz w:val="20"/>
      </w:rPr>
    </w:lvl>
    <w:lvl w:ilvl="6">
      <w:numFmt w:val="bullet"/>
      <w:lvlText w:val=""/>
      <w:lvlJc w:val="left"/>
      <w:pPr>
        <w:tabs>
          <w:tab w:val="num" w:leader="none" w:pos="5040"/>
        </w:tabs>
        <w:ind w:left="5040" w:hanging="360"/>
      </w:pPr>
      <w:rPr>
        <w:rFonts w:hint="default" w:ascii="Wingdings" w:hAnsi="Wingdings"/>
        <w:sz w:val="20"/>
      </w:rPr>
    </w:lvl>
    <w:lvl w:ilvl="7">
      <w:numFmt w:val="bullet"/>
      <w:lvlText w:val=""/>
      <w:lvlJc w:val="left"/>
      <w:pPr>
        <w:tabs>
          <w:tab w:val="num" w:leader="none" w:pos="5760"/>
        </w:tabs>
        <w:ind w:left="5760" w:hanging="360"/>
      </w:pPr>
      <w:rPr>
        <w:rFonts w:hint="default" w:ascii="Wingdings" w:hAnsi="Wingdings"/>
        <w:sz w:val="20"/>
      </w:rPr>
    </w:lvl>
    <w:lvl w:ilvl="8">
      <w:numFmt w:val="bullet"/>
      <w:lvlText w:val=""/>
      <w:lvlJc w:val="left"/>
      <w:pPr>
        <w:tabs>
          <w:tab w:val="num" w:leader="none" w:pos="6480"/>
        </w:tabs>
        <w:ind w:left="6480" w:hanging="360"/>
      </w:pPr>
      <w:rPr>
        <w:rFonts w:hint="default" w:ascii="Wingdings" w:hAnsi="Wingdings"/>
        <w:sz w:val="20"/>
      </w:rPr>
    </w:lvl>
  </w:abstractNum>
  <w:abstractNum w:abstractNumId="1">
    <w:nsid w:val="00000002"/>
    <w:multiLevelType w:val="multilevel"/>
    <w:tmpl w:val="0E78740E"/>
    <w:lvl w:ilvl="0">
      <w:start w:val="1"/>
      <w:numFmt w:val="decimal"/>
      <w:lvlText w:val="%1."/>
      <w:lvlJc w:val="left"/>
      <w:pPr>
        <w:tabs>
          <w:tab w:val="num" w:leader="none" w:pos="720"/>
        </w:tabs>
        <w:ind w:left="720" w:hanging="360"/>
      </w:pPr>
    </w:lvl>
    <w:lvl w:ilvl="1">
      <w:start w:val="1"/>
      <w:numFmt w:val="decimal"/>
      <w:lvlText w:val="%2."/>
      <w:lvlJc w:val="left"/>
      <w:pPr>
        <w:tabs>
          <w:tab w:val="num" w:leader="none" w:pos="1440"/>
        </w:tabs>
        <w:ind w:left="1440" w:hanging="360"/>
      </w:pPr>
    </w:lvl>
    <w:lvl w:ilvl="2">
      <w:start w:val="1"/>
      <w:numFmt w:val="decimal"/>
      <w:lvlText w:val="%3."/>
      <w:lvlJc w:val="left"/>
      <w:pPr>
        <w:tabs>
          <w:tab w:val="num" w:leader="none" w:pos="2160"/>
        </w:tabs>
        <w:ind w:left="2160" w:hanging="360"/>
      </w:pPr>
    </w:lvl>
    <w:lvl w:ilvl="3">
      <w:start w:val="1"/>
      <w:numFmt w:val="decimal"/>
      <w:lvlText w:val="%4."/>
      <w:lvlJc w:val="left"/>
      <w:pPr>
        <w:tabs>
          <w:tab w:val="num" w:leader="none" w:pos="2880"/>
        </w:tabs>
        <w:ind w:left="2880" w:hanging="360"/>
      </w:pPr>
    </w:lvl>
    <w:lvl w:ilvl="4">
      <w:start w:val="1"/>
      <w:numFmt w:val="decimal"/>
      <w:lvlText w:val="%5."/>
      <w:lvlJc w:val="left"/>
      <w:pPr>
        <w:tabs>
          <w:tab w:val="num" w:leader="none" w:pos="3600"/>
        </w:tabs>
        <w:ind w:left="3600" w:hanging="360"/>
      </w:pPr>
    </w:lvl>
    <w:lvl w:ilvl="5">
      <w:start w:val="1"/>
      <w:numFmt w:val="decimal"/>
      <w:lvlText w:val="%6."/>
      <w:lvlJc w:val="left"/>
      <w:pPr>
        <w:tabs>
          <w:tab w:val="num" w:leader="none" w:pos="4320"/>
        </w:tabs>
        <w:ind w:left="4320" w:hanging="360"/>
      </w:pPr>
    </w:lvl>
    <w:lvl w:ilvl="6">
      <w:start w:val="1"/>
      <w:numFmt w:val="decimal"/>
      <w:lvlText w:val="%7."/>
      <w:lvlJc w:val="left"/>
      <w:pPr>
        <w:tabs>
          <w:tab w:val="num" w:leader="none" w:pos="5040"/>
        </w:tabs>
        <w:ind w:left="5040" w:hanging="360"/>
      </w:pPr>
    </w:lvl>
    <w:lvl w:ilvl="7">
      <w:start w:val="1"/>
      <w:numFmt w:val="decimal"/>
      <w:lvlText w:val="%8."/>
      <w:lvlJc w:val="left"/>
      <w:pPr>
        <w:tabs>
          <w:tab w:val="num" w:leader="none" w:pos="5760"/>
        </w:tabs>
        <w:ind w:left="5760" w:hanging="360"/>
      </w:pPr>
    </w:lvl>
    <w:lvl w:ilvl="8">
      <w:start w:val="1"/>
      <w:numFmt w:val="decimal"/>
      <w:lvlText w:val="%9."/>
      <w:lvlJc w:val="left"/>
      <w:pPr>
        <w:tabs>
          <w:tab w:val="num" w:leader="none" w:pos="6480"/>
        </w:tabs>
        <w:ind w:left="6480" w:hanging="360"/>
      </w:pPr>
    </w:lvl>
  </w:abstractNum>
  <w:abstractNum w:abstractNumId="2">
    <w:nsid w:val="00000003"/>
    <w:multiLevelType w:val="multilevel"/>
    <w:tmpl w:val="A4B676C6"/>
    <w:lvl w:ilvl="0">
      <w:numFmt w:val="bullet"/>
      <w:lvlText w:val=""/>
      <w:lvlJc w:val="left"/>
      <w:pPr>
        <w:tabs>
          <w:tab w:val="num" w:leader="none" w:pos="720"/>
        </w:tabs>
        <w:ind w:left="720" w:hanging="360"/>
      </w:pPr>
      <w:rPr>
        <w:rFonts w:hint="default" w:ascii="Symbol" w:hAnsi="Symbol"/>
        <w:sz w:val="20"/>
      </w:rPr>
    </w:lvl>
    <w:lvl w:ilvl="1">
      <w:numFmt w:val="bullet"/>
      <w:lvlText w:val="o"/>
      <w:lvlJc w:val="left"/>
      <w:pPr>
        <w:tabs>
          <w:tab w:val="num" w:leader="none" w:pos="1440"/>
        </w:tabs>
        <w:ind w:left="1440" w:hanging="360"/>
      </w:pPr>
      <w:rPr>
        <w:rFonts w:hint="default" w:ascii="Courier New" w:hAnsi="Courier New"/>
        <w:sz w:val="20"/>
      </w:rPr>
    </w:lvl>
    <w:lvl w:ilvl="2">
      <w:numFmt w:val="bullet"/>
      <w:lvlText w:val=""/>
      <w:lvlJc w:val="left"/>
      <w:pPr>
        <w:tabs>
          <w:tab w:val="num" w:leader="none" w:pos="2160"/>
        </w:tabs>
        <w:ind w:left="2160" w:hanging="360"/>
      </w:pPr>
      <w:rPr>
        <w:rFonts w:hint="default" w:ascii="Wingdings" w:hAnsi="Wingdings"/>
        <w:sz w:val="20"/>
      </w:rPr>
    </w:lvl>
    <w:lvl w:ilvl="3">
      <w:numFmt w:val="bullet"/>
      <w:lvlText w:val=""/>
      <w:lvlJc w:val="left"/>
      <w:pPr>
        <w:tabs>
          <w:tab w:val="num" w:leader="none" w:pos="2880"/>
        </w:tabs>
        <w:ind w:left="2880" w:hanging="360"/>
      </w:pPr>
      <w:rPr>
        <w:rFonts w:hint="default" w:ascii="Wingdings" w:hAnsi="Wingdings"/>
        <w:sz w:val="20"/>
      </w:rPr>
    </w:lvl>
    <w:lvl w:ilvl="4">
      <w:numFmt w:val="bullet"/>
      <w:lvlText w:val=""/>
      <w:lvlJc w:val="left"/>
      <w:pPr>
        <w:tabs>
          <w:tab w:val="num" w:leader="none" w:pos="3600"/>
        </w:tabs>
        <w:ind w:left="3600" w:hanging="360"/>
      </w:pPr>
      <w:rPr>
        <w:rFonts w:hint="default" w:ascii="Wingdings" w:hAnsi="Wingdings"/>
        <w:sz w:val="20"/>
      </w:rPr>
    </w:lvl>
    <w:lvl w:ilvl="5">
      <w:numFmt w:val="bullet"/>
      <w:lvlText w:val=""/>
      <w:lvlJc w:val="left"/>
      <w:pPr>
        <w:tabs>
          <w:tab w:val="num" w:leader="none" w:pos="4320"/>
        </w:tabs>
        <w:ind w:left="4320" w:hanging="360"/>
      </w:pPr>
      <w:rPr>
        <w:rFonts w:hint="default" w:ascii="Wingdings" w:hAnsi="Wingdings"/>
        <w:sz w:val="20"/>
      </w:rPr>
    </w:lvl>
    <w:lvl w:ilvl="6">
      <w:numFmt w:val="bullet"/>
      <w:lvlText w:val=""/>
      <w:lvlJc w:val="left"/>
      <w:pPr>
        <w:tabs>
          <w:tab w:val="num" w:leader="none" w:pos="5040"/>
        </w:tabs>
        <w:ind w:left="5040" w:hanging="360"/>
      </w:pPr>
      <w:rPr>
        <w:rFonts w:hint="default" w:ascii="Wingdings" w:hAnsi="Wingdings"/>
        <w:sz w:val="20"/>
      </w:rPr>
    </w:lvl>
    <w:lvl w:ilvl="7">
      <w:numFmt w:val="bullet"/>
      <w:lvlText w:val=""/>
      <w:lvlJc w:val="left"/>
      <w:pPr>
        <w:tabs>
          <w:tab w:val="num" w:leader="none" w:pos="5760"/>
        </w:tabs>
        <w:ind w:left="5760" w:hanging="360"/>
      </w:pPr>
      <w:rPr>
        <w:rFonts w:hint="default" w:ascii="Wingdings" w:hAnsi="Wingdings"/>
        <w:sz w:val="20"/>
      </w:rPr>
    </w:lvl>
    <w:lvl w:ilvl="8">
      <w:numFmt w:val="bullet"/>
      <w:lvlText w:val=""/>
      <w:lvlJc w:val="left"/>
      <w:pPr>
        <w:tabs>
          <w:tab w:val="num" w:leader="none" w:pos="6480"/>
        </w:tabs>
        <w:ind w:left="6480" w:hanging="360"/>
      </w:pPr>
      <w:rPr>
        <w:rFonts w:hint="default" w:ascii="Wingdings" w:hAnsi="Wingdings"/>
        <w:sz w:val="20"/>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12</Words>
  <Characters>806</Characters>
  <Application>JUST Note</Application>
  <Lines>157</Lines>
  <Paragraphs>47</Paragraphs>
  <CharactersWithSpaces>808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AT2107</dc:creator>
  <cp:lastModifiedBy>110kikakuzaisei</cp:lastModifiedBy>
  <dcterms:created xsi:type="dcterms:W3CDTF">2016-10-31T05:54:00Z</dcterms:created>
  <dcterms:modified xsi:type="dcterms:W3CDTF">2022-03-23T08:44:24Z</dcterms:modified>
  <cp:revision>3</cp:revision>
</cp:coreProperties>
</file>